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A60F7" w14:textId="1FAB9F89" w:rsidR="00C8225C" w:rsidRDefault="003A17FE">
      <w:pPr>
        <w:rPr>
          <w:sz w:val="18"/>
          <w:szCs w:val="18"/>
        </w:rPr>
      </w:pPr>
      <w:r w:rsidRPr="000C0637">
        <w:rPr>
          <w:sz w:val="18"/>
          <w:szCs w:val="18"/>
        </w:rPr>
        <w:t>施行規則第四十三条の表</w:t>
      </w: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827"/>
        <w:gridCol w:w="4253"/>
        <w:gridCol w:w="3370"/>
      </w:tblGrid>
      <w:tr w:rsidR="0012080E" w:rsidRPr="0012080E" w14:paraId="5B66FC7E" w14:textId="77777777" w:rsidTr="00AC1BA1">
        <w:tc>
          <w:tcPr>
            <w:tcW w:w="2827" w:type="dxa"/>
          </w:tcPr>
          <w:p w14:paraId="4C73E748" w14:textId="77777777" w:rsidR="0012080E" w:rsidRPr="0012080E" w:rsidRDefault="0012080E" w:rsidP="003F7600">
            <w:pPr>
              <w:rPr>
                <w:sz w:val="18"/>
                <w:szCs w:val="18"/>
              </w:rPr>
            </w:pPr>
            <w:r w:rsidRPr="0012080E">
              <w:rPr>
                <w:rFonts w:hint="eastAsia"/>
                <w:sz w:val="18"/>
                <w:szCs w:val="18"/>
              </w:rPr>
              <w:t>物</w:t>
            </w:r>
          </w:p>
        </w:tc>
        <w:tc>
          <w:tcPr>
            <w:tcW w:w="4253" w:type="dxa"/>
          </w:tcPr>
          <w:p w14:paraId="157C8D5A" w14:textId="77777777" w:rsidR="0012080E" w:rsidRPr="0012080E" w:rsidRDefault="0012080E" w:rsidP="003F7600">
            <w:pPr>
              <w:rPr>
                <w:sz w:val="18"/>
                <w:szCs w:val="18"/>
              </w:rPr>
            </w:pPr>
            <w:r w:rsidRPr="0012080E">
              <w:rPr>
                <w:rFonts w:hint="eastAsia"/>
                <w:sz w:val="18"/>
                <w:szCs w:val="18"/>
              </w:rPr>
              <w:t>地域</w:t>
            </w:r>
          </w:p>
        </w:tc>
        <w:tc>
          <w:tcPr>
            <w:tcW w:w="3370" w:type="dxa"/>
          </w:tcPr>
          <w:p w14:paraId="66476127" w14:textId="77777777" w:rsidR="0012080E" w:rsidRPr="0012080E" w:rsidRDefault="0012080E" w:rsidP="003F7600">
            <w:pPr>
              <w:rPr>
                <w:sz w:val="18"/>
                <w:szCs w:val="18"/>
              </w:rPr>
            </w:pPr>
            <w:r w:rsidRPr="0012080E">
              <w:rPr>
                <w:rFonts w:hint="eastAsia"/>
                <w:sz w:val="18"/>
                <w:szCs w:val="18"/>
              </w:rPr>
              <w:t>備考（対象とする伝染性疾病）</w:t>
            </w:r>
          </w:p>
        </w:tc>
      </w:tr>
      <w:tr w:rsidR="0012080E" w:rsidRPr="0012080E" w14:paraId="63DEABBF" w14:textId="77777777" w:rsidTr="00AC1BA1">
        <w:tc>
          <w:tcPr>
            <w:tcW w:w="2827" w:type="dxa"/>
          </w:tcPr>
          <w:p w14:paraId="18F15A1F" w14:textId="7041615E" w:rsidR="0012080E" w:rsidRPr="0012080E" w:rsidRDefault="0012080E" w:rsidP="003F7600">
            <w:pPr>
              <w:rPr>
                <w:sz w:val="18"/>
                <w:szCs w:val="18"/>
              </w:rPr>
            </w:pPr>
            <w:r w:rsidRPr="0012080E">
              <w:rPr>
                <w:rFonts w:hint="eastAsia"/>
                <w:sz w:val="18"/>
                <w:szCs w:val="18"/>
              </w:rPr>
              <w:t>豚及びいのしし以外の偶</w:t>
            </w:r>
            <w:r>
              <w:rPr>
                <w:rFonts w:hint="eastAsia"/>
                <w:sz w:val="18"/>
                <w:szCs w:val="18"/>
              </w:rPr>
              <w:t>蹄</w:t>
            </w:r>
            <w:r w:rsidRPr="0012080E">
              <w:rPr>
                <w:rFonts w:hint="eastAsia"/>
                <w:sz w:val="18"/>
                <w:szCs w:val="18"/>
              </w:rPr>
              <w:t>類の動物に係る法第三十七条第一項第一号及び第三号に掲げる物</w:t>
            </w:r>
          </w:p>
        </w:tc>
        <w:tc>
          <w:tcPr>
            <w:tcW w:w="4253" w:type="dxa"/>
          </w:tcPr>
          <w:p w14:paraId="7E1B23C3" w14:textId="77777777" w:rsidR="0012080E" w:rsidRPr="0012080E" w:rsidRDefault="0012080E" w:rsidP="003F7600">
            <w:pPr>
              <w:rPr>
                <w:sz w:val="18"/>
                <w:szCs w:val="18"/>
              </w:rPr>
            </w:pPr>
            <w:r w:rsidRPr="0012080E">
              <w:rPr>
                <w:rFonts w:hint="eastAsia"/>
                <w:sz w:val="18"/>
                <w:szCs w:val="18"/>
              </w:rPr>
              <w:t>アイスランド、アイルランド、イタリア、英国（グレート・ブリテン及び北アイルランドに限る。）、オーストリア、オランダ、クロアチア、サンマリノ、スイス、スウェーデン、スペイン、スロベニア、チェコ、デンマーク、ドイツ、ノルウェー、ハンガリー、フィンランド、フランス、ベルギー、ポーランド、ポルトガル、リトアニア、リヒテンシュタイン、アメリカ合衆国（アメリカ大陸の部分、ハワイ諸島及びグァム島に限る。）、カナダ、アルゼンチン（サンタクルス州、チュブート州、ティエラデルフエゴ州、ネウケン州、ブエノスアイレス州（パタゴネス市に限る。）及びリオネグロ州に限る。）、エルサルバドル、グアテマラ、コスタリカ、チリ、ドミニカ共和国、ニカラグア、パナマ、ブラジル（サンタ・カタリーナ州に限る。）、ベリーズ、ホンジュラス、メキシコ、オーストラリア、北マリアナ諸島、ニュー・カレドニア、ニュージーランド及びバヌアツ以外の地域</w:t>
            </w:r>
          </w:p>
        </w:tc>
        <w:tc>
          <w:tcPr>
            <w:tcW w:w="3370" w:type="dxa"/>
          </w:tcPr>
          <w:p w14:paraId="7237DB22" w14:textId="3FF3B7C5" w:rsidR="0012080E" w:rsidRPr="0012080E" w:rsidRDefault="0012080E" w:rsidP="003F7600">
            <w:pPr>
              <w:rPr>
                <w:sz w:val="18"/>
                <w:szCs w:val="18"/>
              </w:rPr>
            </w:pPr>
            <w:r w:rsidRPr="0012080E">
              <w:rPr>
                <w:rFonts w:hint="eastAsia"/>
                <w:sz w:val="18"/>
                <w:szCs w:val="18"/>
              </w:rPr>
              <w:t>牛疫及び口</w:t>
            </w:r>
            <w:r>
              <w:rPr>
                <w:rFonts w:hint="eastAsia"/>
                <w:sz w:val="18"/>
                <w:szCs w:val="18"/>
              </w:rPr>
              <w:t>蹄</w:t>
            </w:r>
            <w:r w:rsidRPr="0012080E">
              <w:rPr>
                <w:rFonts w:hint="eastAsia"/>
                <w:sz w:val="18"/>
                <w:szCs w:val="18"/>
              </w:rPr>
              <w:t>疫</w:t>
            </w:r>
          </w:p>
        </w:tc>
      </w:tr>
      <w:tr w:rsidR="0012080E" w:rsidRPr="0012080E" w14:paraId="3DC6683C" w14:textId="77777777" w:rsidTr="00AC1BA1">
        <w:tc>
          <w:tcPr>
            <w:tcW w:w="2827" w:type="dxa"/>
          </w:tcPr>
          <w:p w14:paraId="706FBD16" w14:textId="77777777" w:rsidR="0012080E" w:rsidRPr="0012080E" w:rsidRDefault="0012080E" w:rsidP="003F7600">
            <w:pPr>
              <w:rPr>
                <w:sz w:val="18"/>
                <w:szCs w:val="18"/>
              </w:rPr>
            </w:pPr>
            <w:r w:rsidRPr="0012080E">
              <w:rPr>
                <w:rFonts w:hint="eastAsia"/>
                <w:sz w:val="18"/>
                <w:szCs w:val="18"/>
              </w:rPr>
              <w:t>豚及びいのししに係る法第三十七条第一項第一号及び第三号に掲げる物</w:t>
            </w:r>
          </w:p>
        </w:tc>
        <w:tc>
          <w:tcPr>
            <w:tcW w:w="4253" w:type="dxa"/>
          </w:tcPr>
          <w:p w14:paraId="09B5FB1E" w14:textId="77777777" w:rsidR="0012080E" w:rsidRPr="0012080E" w:rsidRDefault="0012080E" w:rsidP="003F7600">
            <w:pPr>
              <w:rPr>
                <w:sz w:val="18"/>
                <w:szCs w:val="18"/>
              </w:rPr>
            </w:pPr>
            <w:r w:rsidRPr="0012080E">
              <w:rPr>
                <w:rFonts w:hint="eastAsia"/>
                <w:sz w:val="18"/>
                <w:szCs w:val="18"/>
              </w:rPr>
              <w:t>アイスランド、アイルランド、イタリア（サルジニア島を除く。）、英国（グレート・ブリテン及び北アイルランドに限る。）、オーストリア、オランダ、サンマリノ、スイス、スウェーデン、スペイン、スロベニア、チェコ、デンマーク、ドイツ、ノルウェー、ハンガリー、フィンランド、フランス、ベルギー、ポーランド、ポルトガル、アメリカ合衆国（アメリカ大陸の部分、ハワイ諸島及びグァム島に限る。）、カナダ、コスタリカ、チリ、パナマ、ブラジル（サンタ・カタリーナ州に限る。）、メキシコ、オーストラリア、北マリアナ諸島、ニュー・カレドニア、ニュージーランド及びバヌアツ以外の地域</w:t>
            </w:r>
          </w:p>
        </w:tc>
        <w:tc>
          <w:tcPr>
            <w:tcW w:w="3370" w:type="dxa"/>
          </w:tcPr>
          <w:p w14:paraId="256F66C5" w14:textId="71A8F299" w:rsidR="0012080E" w:rsidRPr="0012080E" w:rsidRDefault="0012080E" w:rsidP="003F7600">
            <w:pPr>
              <w:rPr>
                <w:sz w:val="18"/>
                <w:szCs w:val="18"/>
              </w:rPr>
            </w:pPr>
            <w:r w:rsidRPr="0012080E">
              <w:rPr>
                <w:rFonts w:hint="eastAsia"/>
                <w:sz w:val="18"/>
                <w:szCs w:val="18"/>
              </w:rPr>
              <w:t>牛疫、口</w:t>
            </w:r>
            <w:r>
              <w:rPr>
                <w:rFonts w:hint="eastAsia"/>
                <w:sz w:val="18"/>
                <w:szCs w:val="18"/>
              </w:rPr>
              <w:t>蹄</w:t>
            </w:r>
            <w:r w:rsidRPr="0012080E">
              <w:rPr>
                <w:rFonts w:hint="eastAsia"/>
                <w:sz w:val="18"/>
                <w:szCs w:val="18"/>
              </w:rPr>
              <w:t>疫、豚熱及びアフリカ豚熱</w:t>
            </w:r>
          </w:p>
        </w:tc>
      </w:tr>
      <w:tr w:rsidR="0012080E" w:rsidRPr="0012080E" w14:paraId="3CFE6C25" w14:textId="77777777" w:rsidTr="00AC1BA1">
        <w:tc>
          <w:tcPr>
            <w:tcW w:w="2827" w:type="dxa"/>
          </w:tcPr>
          <w:p w14:paraId="7F99A95F" w14:textId="77777777" w:rsidR="0012080E" w:rsidRPr="0012080E" w:rsidRDefault="0012080E" w:rsidP="003F7600">
            <w:pPr>
              <w:rPr>
                <w:sz w:val="18"/>
                <w:szCs w:val="18"/>
              </w:rPr>
            </w:pPr>
            <w:r w:rsidRPr="0012080E">
              <w:rPr>
                <w:rFonts w:hint="eastAsia"/>
                <w:sz w:val="18"/>
                <w:szCs w:val="18"/>
              </w:rPr>
              <w:t>鶏、うずら、きじ、だちよう、ほろほろ鳥及び七面鳥並びにあひる、が</w:t>
            </w:r>
            <w:proofErr w:type="gramStart"/>
            <w:r w:rsidRPr="0012080E">
              <w:rPr>
                <w:rFonts w:hint="eastAsia"/>
                <w:sz w:val="18"/>
                <w:szCs w:val="18"/>
              </w:rPr>
              <w:t>ちよ</w:t>
            </w:r>
            <w:proofErr w:type="gramEnd"/>
            <w:r w:rsidRPr="0012080E">
              <w:rPr>
                <w:rFonts w:hint="eastAsia"/>
                <w:sz w:val="18"/>
                <w:szCs w:val="18"/>
              </w:rPr>
              <w:t>うその他のかも目の鳥類に係る法第三十七条第一項第一号及び第三号に掲げる物</w:t>
            </w:r>
          </w:p>
        </w:tc>
        <w:tc>
          <w:tcPr>
            <w:tcW w:w="4253" w:type="dxa"/>
          </w:tcPr>
          <w:p w14:paraId="4503B113" w14:textId="77777777" w:rsidR="0012080E" w:rsidRPr="0012080E" w:rsidRDefault="0012080E" w:rsidP="003F7600">
            <w:pPr>
              <w:rPr>
                <w:sz w:val="18"/>
                <w:szCs w:val="18"/>
              </w:rPr>
            </w:pPr>
            <w:r w:rsidRPr="0012080E">
              <w:rPr>
                <w:rFonts w:hint="eastAsia"/>
                <w:sz w:val="18"/>
                <w:szCs w:val="18"/>
              </w:rPr>
              <w:t>シンガポール、タイ、フィリピン、マレーシア、トルコ、ウクライナ（クリミア自治共和国、セヴァストーポリ特別市、ドネツク州及びルハンスク州を除く。）、英国（グレート・ブリテン及び北アイルランドに限る。）、オーストリア、オランダ、スウェーデン、スペイン、デンマーク、ドイツ、ハンガリー、フィンランド、フランス、ブルガリア、ベルギー、ポーランド、ポルトガル、ラトビ</w:t>
            </w:r>
            <w:r w:rsidRPr="0012080E">
              <w:rPr>
                <w:rFonts w:hint="eastAsia"/>
                <w:sz w:val="18"/>
                <w:szCs w:val="18"/>
              </w:rPr>
              <w:lastRenderedPageBreak/>
              <w:t>ア、リトアニア、ロシア（トゥーラ州及びブリャンスク州に限る。）、アメリカ合衆国（アメリカ大陸の部分、ハワイ諸島及びグァム島に限る。）、カナダ、アルゼンチン、コスタリカ、コロンビア、チリ、ブラジル、ペルー、オーストラリア、ニュー・カレドニア及びニュージーランド以外の地域</w:t>
            </w:r>
          </w:p>
        </w:tc>
        <w:tc>
          <w:tcPr>
            <w:tcW w:w="3370" w:type="dxa"/>
          </w:tcPr>
          <w:p w14:paraId="39AD00A4" w14:textId="77777777" w:rsidR="0012080E" w:rsidRPr="0012080E" w:rsidRDefault="0012080E" w:rsidP="003F7600">
            <w:pPr>
              <w:rPr>
                <w:sz w:val="18"/>
                <w:szCs w:val="18"/>
              </w:rPr>
            </w:pPr>
            <w:r w:rsidRPr="0012080E">
              <w:rPr>
                <w:rFonts w:hint="eastAsia"/>
                <w:sz w:val="18"/>
                <w:szCs w:val="18"/>
              </w:rPr>
              <w:lastRenderedPageBreak/>
              <w:t>高病原性鳥インフルエンザ</w:t>
            </w:r>
          </w:p>
        </w:tc>
      </w:tr>
      <w:tr w:rsidR="0012080E" w:rsidRPr="000C0637" w14:paraId="444362DB" w14:textId="77777777" w:rsidTr="00AC1BA1">
        <w:tc>
          <w:tcPr>
            <w:tcW w:w="2827" w:type="dxa"/>
          </w:tcPr>
          <w:p w14:paraId="078795BF" w14:textId="77777777" w:rsidR="0012080E" w:rsidRPr="0012080E" w:rsidRDefault="0012080E" w:rsidP="003F7600">
            <w:pPr>
              <w:rPr>
                <w:sz w:val="18"/>
                <w:szCs w:val="18"/>
              </w:rPr>
            </w:pPr>
            <w:r w:rsidRPr="0012080E">
              <w:rPr>
                <w:rFonts w:hint="eastAsia"/>
                <w:sz w:val="18"/>
                <w:szCs w:val="18"/>
              </w:rPr>
              <w:t>法第三十七条第一項第二号に掲げる物</w:t>
            </w:r>
          </w:p>
        </w:tc>
        <w:tc>
          <w:tcPr>
            <w:tcW w:w="4253" w:type="dxa"/>
          </w:tcPr>
          <w:p w14:paraId="77886CBE" w14:textId="77777777" w:rsidR="0012080E" w:rsidRPr="0012080E" w:rsidRDefault="0012080E" w:rsidP="003F7600">
            <w:pPr>
              <w:rPr>
                <w:sz w:val="18"/>
                <w:szCs w:val="18"/>
              </w:rPr>
            </w:pPr>
            <w:r w:rsidRPr="0012080E">
              <w:rPr>
                <w:rFonts w:hint="eastAsia"/>
                <w:sz w:val="18"/>
                <w:szCs w:val="18"/>
              </w:rPr>
              <w:t>アイスランド、アイルランド、イタリア、英国（グレート・ブリテン及び北アイルランドに限る。）、オーストリア、オランダ、クロアチア、サンマリノ、スイス、スウェーデン、スペイン、スロベニア、チェコ、デンマーク、ドイツ、ノルウェー、ハンガリー、フィンランド、フランス、ベルギー、ポーランド、ポルトガル、リトアニア、リヒテンシュタイン、アメリカ合衆国（アメリカ大陸の部分、ハワイ諸島及びグァム島に限る。）、カナダ、アルゼンチン（サンタクルス州、チュブート州、ティエラデルフエゴ州、ネウケン州、ブエノスアイレス州（パタゴネス市に限る。）及びリオネグロ州に限る。）、エルサルバドル、グアテマラ、コスタリカ、チリ、ドミニカ共和国、ニカラグア、パナマ、ブラジル（サンタ・カタリーナ州に限る。）、ベリーズ、ホンジュラス、メキシコ、オーストラリア、北マリアナ諸島、ニュー・カレドニア、ニュージーランド及びバヌアツ以外の地域</w:t>
            </w:r>
          </w:p>
        </w:tc>
        <w:tc>
          <w:tcPr>
            <w:tcW w:w="3370" w:type="dxa"/>
          </w:tcPr>
          <w:p w14:paraId="47C0A33E" w14:textId="4EA85A87" w:rsidR="0012080E" w:rsidRPr="000C0637" w:rsidRDefault="0012080E" w:rsidP="003F7600">
            <w:pPr>
              <w:rPr>
                <w:rFonts w:hint="eastAsia"/>
                <w:sz w:val="18"/>
                <w:szCs w:val="18"/>
              </w:rPr>
            </w:pPr>
            <w:r w:rsidRPr="0012080E">
              <w:rPr>
                <w:rFonts w:hint="eastAsia"/>
                <w:sz w:val="18"/>
                <w:szCs w:val="18"/>
              </w:rPr>
              <w:t>口</w:t>
            </w:r>
            <w:r>
              <w:rPr>
                <w:rFonts w:hint="eastAsia"/>
                <w:sz w:val="18"/>
                <w:szCs w:val="18"/>
              </w:rPr>
              <w:t>蹄</w:t>
            </w:r>
            <w:r w:rsidRPr="0012080E">
              <w:rPr>
                <w:rFonts w:hint="eastAsia"/>
                <w:sz w:val="18"/>
                <w:szCs w:val="18"/>
              </w:rPr>
              <w:t>疫</w:t>
            </w:r>
          </w:p>
        </w:tc>
      </w:tr>
    </w:tbl>
    <w:p w14:paraId="47CB78C2" w14:textId="24CC4B5D" w:rsidR="000C0637" w:rsidRDefault="000C0637" w:rsidP="0012080E">
      <w:pPr>
        <w:rPr>
          <w:sz w:val="18"/>
          <w:szCs w:val="18"/>
        </w:rPr>
      </w:pPr>
    </w:p>
    <w:p w14:paraId="0642C2E0" w14:textId="3C912B90" w:rsidR="00AC1BA1" w:rsidRDefault="00234348" w:rsidP="0012080E">
      <w:pPr>
        <w:rPr>
          <w:b/>
          <w:bCs/>
          <w:sz w:val="18"/>
          <w:szCs w:val="18"/>
        </w:rPr>
      </w:pPr>
      <w:r w:rsidRPr="00234348">
        <w:rPr>
          <w:b/>
          <w:bCs/>
          <w:sz w:val="18"/>
          <w:szCs w:val="18"/>
        </w:rPr>
        <w:t>第三十七条第一項各号の物</w:t>
      </w:r>
    </w:p>
    <w:p w14:paraId="236CD9BF" w14:textId="77777777" w:rsidR="00234348" w:rsidRPr="00234348" w:rsidRDefault="00234348" w:rsidP="00C759B0">
      <w:pPr>
        <w:numPr>
          <w:ilvl w:val="0"/>
          <w:numId w:val="3"/>
        </w:numPr>
        <w:rPr>
          <w:sz w:val="18"/>
          <w:szCs w:val="18"/>
        </w:rPr>
      </w:pPr>
      <w:r w:rsidRPr="00234348">
        <w:rPr>
          <w:sz w:val="18"/>
          <w:szCs w:val="18"/>
        </w:rPr>
        <w:t>動物、その死体又は骨肉卵皮毛類及びこれらの容器包装</w:t>
      </w:r>
    </w:p>
    <w:p w14:paraId="21EA3829" w14:textId="77777777" w:rsidR="00234348" w:rsidRPr="00234348" w:rsidRDefault="00234348" w:rsidP="00C759B0">
      <w:pPr>
        <w:numPr>
          <w:ilvl w:val="0"/>
          <w:numId w:val="3"/>
        </w:numPr>
        <w:rPr>
          <w:sz w:val="18"/>
          <w:szCs w:val="18"/>
        </w:rPr>
      </w:pPr>
      <w:r w:rsidRPr="00234348">
        <w:rPr>
          <w:sz w:val="18"/>
          <w:szCs w:val="18"/>
        </w:rPr>
        <w:t xml:space="preserve">　穀物のわら（飼料用以外の用途に供するものとして農林水産省令で定めるものを除く。）及び飼料用の乾草</w:t>
      </w:r>
    </w:p>
    <w:p w14:paraId="31794ED4" w14:textId="77777777" w:rsidR="00234348" w:rsidRPr="00234348" w:rsidRDefault="00234348" w:rsidP="00C759B0">
      <w:pPr>
        <w:numPr>
          <w:ilvl w:val="0"/>
          <w:numId w:val="3"/>
        </w:numPr>
        <w:rPr>
          <w:sz w:val="18"/>
          <w:szCs w:val="18"/>
        </w:rPr>
      </w:pPr>
      <w:r w:rsidRPr="00234348">
        <w:rPr>
          <w:sz w:val="18"/>
          <w:szCs w:val="18"/>
        </w:rPr>
        <w:t xml:space="preserve">　前二号に掲げる物を除き、監視伝染病の病原体を拡散するおそれがある敷料その他これに準ずる物</w:t>
      </w:r>
    </w:p>
    <w:p w14:paraId="1265B422" w14:textId="77777777" w:rsidR="00234348" w:rsidRPr="00234348" w:rsidRDefault="00234348" w:rsidP="0012080E">
      <w:pPr>
        <w:rPr>
          <w:rFonts w:hint="eastAsia"/>
          <w:sz w:val="18"/>
          <w:szCs w:val="18"/>
        </w:rPr>
      </w:pPr>
    </w:p>
    <w:sectPr w:rsidR="00234348" w:rsidRPr="00234348" w:rsidSect="000C063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256"/>
    <w:multiLevelType w:val="multilevel"/>
    <w:tmpl w:val="F6000C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8004B94"/>
    <w:multiLevelType w:val="multilevel"/>
    <w:tmpl w:val="2E48D380"/>
    <w:lvl w:ilvl="0">
      <w:start w:val="1"/>
      <w:numFmt w:val="ideographDigital"/>
      <w:lvlText w:val="%1"/>
      <w:lvlJc w:val="left"/>
      <w:pPr>
        <w:tabs>
          <w:tab w:val="num" w:pos="720"/>
        </w:tabs>
        <w:ind w:left="720" w:hanging="360"/>
      </w:pPr>
      <w:rPr>
        <w:rFonts w:hint="eastAsia"/>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6DFD61E9"/>
    <w:multiLevelType w:val="multilevel"/>
    <w:tmpl w:val="EE7CCB2C"/>
    <w:lvl w:ilvl="0">
      <w:start w:val="1"/>
      <w:numFmt w:val="ideographDigital"/>
      <w:lvlText w:val="%1."/>
      <w:lvlJc w:val="left"/>
      <w:pPr>
        <w:tabs>
          <w:tab w:val="num" w:pos="720"/>
        </w:tabs>
        <w:ind w:left="720" w:hanging="360"/>
      </w:pPr>
      <w:rPr>
        <w:rFonts w:hint="eastAsia"/>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36165630">
    <w:abstractNumId w:val="0"/>
  </w:num>
  <w:num w:numId="2" w16cid:durableId="1129319093">
    <w:abstractNumId w:val="2"/>
  </w:num>
  <w:num w:numId="3" w16cid:durableId="1071152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7FE"/>
    <w:rsid w:val="000C0637"/>
    <w:rsid w:val="000F3422"/>
    <w:rsid w:val="000F6AC9"/>
    <w:rsid w:val="0012080E"/>
    <w:rsid w:val="001212E8"/>
    <w:rsid w:val="00186DB1"/>
    <w:rsid w:val="001C584A"/>
    <w:rsid w:val="001E7FAE"/>
    <w:rsid w:val="00234348"/>
    <w:rsid w:val="002359F5"/>
    <w:rsid w:val="00240C4F"/>
    <w:rsid w:val="00331DCE"/>
    <w:rsid w:val="00374199"/>
    <w:rsid w:val="003A17FE"/>
    <w:rsid w:val="003C7E24"/>
    <w:rsid w:val="00406337"/>
    <w:rsid w:val="00420C37"/>
    <w:rsid w:val="00512ABC"/>
    <w:rsid w:val="00573A5C"/>
    <w:rsid w:val="006734CA"/>
    <w:rsid w:val="006D61CF"/>
    <w:rsid w:val="007327CD"/>
    <w:rsid w:val="008C1F10"/>
    <w:rsid w:val="00930461"/>
    <w:rsid w:val="009535D5"/>
    <w:rsid w:val="009B3D73"/>
    <w:rsid w:val="009C5C05"/>
    <w:rsid w:val="00A5429D"/>
    <w:rsid w:val="00A66D49"/>
    <w:rsid w:val="00AC1BA1"/>
    <w:rsid w:val="00AE4DFB"/>
    <w:rsid w:val="00AF55E9"/>
    <w:rsid w:val="00BB3212"/>
    <w:rsid w:val="00C15550"/>
    <w:rsid w:val="00C37EEE"/>
    <w:rsid w:val="00C759B0"/>
    <w:rsid w:val="00C8225C"/>
    <w:rsid w:val="00CD38E0"/>
    <w:rsid w:val="00CE0FDA"/>
    <w:rsid w:val="00DE4C64"/>
    <w:rsid w:val="00E831AC"/>
    <w:rsid w:val="00F62B2D"/>
    <w:rsid w:val="00FA6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D699D"/>
  <w15:chartTrackingRefBased/>
  <w15:docId w15:val="{D3BA8C3B-9FA2-4D27-BF95-D2B4F73DA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7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17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17F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17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17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17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17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17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17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17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17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17F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17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17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17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17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17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17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17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17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7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17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7FE"/>
    <w:pPr>
      <w:spacing w:before="160" w:after="160"/>
      <w:jc w:val="center"/>
    </w:pPr>
    <w:rPr>
      <w:i/>
      <w:iCs/>
      <w:color w:val="404040" w:themeColor="text1" w:themeTint="BF"/>
    </w:rPr>
  </w:style>
  <w:style w:type="character" w:customStyle="1" w:styleId="a8">
    <w:name w:val="引用文 (文字)"/>
    <w:basedOn w:val="a0"/>
    <w:link w:val="a7"/>
    <w:uiPriority w:val="29"/>
    <w:rsid w:val="003A17FE"/>
    <w:rPr>
      <w:i/>
      <w:iCs/>
      <w:color w:val="404040" w:themeColor="text1" w:themeTint="BF"/>
    </w:rPr>
  </w:style>
  <w:style w:type="paragraph" w:styleId="a9">
    <w:name w:val="List Paragraph"/>
    <w:basedOn w:val="a"/>
    <w:uiPriority w:val="34"/>
    <w:qFormat/>
    <w:rsid w:val="003A17FE"/>
    <w:pPr>
      <w:ind w:left="720"/>
      <w:contextualSpacing/>
    </w:pPr>
  </w:style>
  <w:style w:type="character" w:styleId="21">
    <w:name w:val="Intense Emphasis"/>
    <w:basedOn w:val="a0"/>
    <w:uiPriority w:val="21"/>
    <w:qFormat/>
    <w:rsid w:val="003A17FE"/>
    <w:rPr>
      <w:i/>
      <w:iCs/>
      <w:color w:val="0F4761" w:themeColor="accent1" w:themeShade="BF"/>
    </w:rPr>
  </w:style>
  <w:style w:type="paragraph" w:styleId="22">
    <w:name w:val="Intense Quote"/>
    <w:basedOn w:val="a"/>
    <w:next w:val="a"/>
    <w:link w:val="23"/>
    <w:uiPriority w:val="30"/>
    <w:qFormat/>
    <w:rsid w:val="003A1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17FE"/>
    <w:rPr>
      <w:i/>
      <w:iCs/>
      <w:color w:val="0F4761" w:themeColor="accent1" w:themeShade="BF"/>
    </w:rPr>
  </w:style>
  <w:style w:type="character" w:styleId="24">
    <w:name w:val="Intense Reference"/>
    <w:basedOn w:val="a0"/>
    <w:uiPriority w:val="32"/>
    <w:qFormat/>
    <w:rsid w:val="003A17FE"/>
    <w:rPr>
      <w:b/>
      <w:bCs/>
      <w:smallCaps/>
      <w:color w:val="0F4761" w:themeColor="accent1" w:themeShade="BF"/>
      <w:spacing w:val="5"/>
    </w:rPr>
  </w:style>
  <w:style w:type="table" w:styleId="aa">
    <w:name w:val="Table Grid"/>
    <w:basedOn w:val="a1"/>
    <w:uiPriority w:val="39"/>
    <w:rsid w:val="00120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KOICHI WATANABE</dc:creator>
  <cp:keywords/>
  <dc:description/>
  <cp:lastModifiedBy>KOICHI WATANABE</cp:lastModifiedBy>
  <cp:revision>8</cp:revision>
  <dcterms:created xsi:type="dcterms:W3CDTF">2025-12-02T08:49:00Z</dcterms:created>
  <dcterms:modified xsi:type="dcterms:W3CDTF">2025-12-02T08:56:00Z</dcterms:modified>
</cp:coreProperties>
</file>